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ageBreakBefore w:val="0"/>
        <w:ind w:left="-360" w:firstLine="0"/>
        <w:jc w:val="center"/>
        <w:rPr>
          <w:b w:val="1"/>
          <w:sz w:val="20"/>
          <w:szCs w:val="20"/>
        </w:rPr>
      </w:pPr>
      <w:r w:rsidDel="00000000" w:rsidR="00000000" w:rsidRPr="00000000">
        <w:rPr>
          <w:b w:val="1"/>
          <w:sz w:val="20"/>
          <w:szCs w:val="20"/>
          <w:rtl w:val="0"/>
        </w:rPr>
        <w:t xml:space="preserve">***FOR IMMEDIATE PUBLIC INTERNAL RELEASE***</w:t>
      </w:r>
    </w:p>
    <w:p w:rsidR="00000000" w:rsidDel="00000000" w:rsidP="00000000" w:rsidRDefault="00000000" w:rsidRPr="00000000" w14:paraId="00000002">
      <w:pPr>
        <w:pageBreakBefore w:val="0"/>
        <w:ind w:left="-360" w:firstLine="0"/>
        <w:jc w:val="center"/>
        <w:rPr>
          <w:sz w:val="20"/>
          <w:szCs w:val="20"/>
        </w:rPr>
      </w:pPr>
      <w:r w:rsidDel="00000000" w:rsidR="00000000" w:rsidRPr="00000000">
        <w:rPr>
          <w:rtl w:val="0"/>
        </w:rPr>
      </w:r>
    </w:p>
    <w:p w:rsidR="00000000" w:rsidDel="00000000" w:rsidP="00000000" w:rsidRDefault="00000000" w:rsidRPr="00000000" w14:paraId="00000003">
      <w:pPr>
        <w:pageBreakBefore w:val="0"/>
        <w:ind w:left="-360" w:firstLine="0"/>
        <w:rPr>
          <w:sz w:val="20"/>
          <w:szCs w:val="20"/>
        </w:rPr>
      </w:pPr>
      <w:r w:rsidDel="00000000" w:rsidR="00000000" w:rsidRPr="00000000">
        <w:rPr>
          <w:sz w:val="20"/>
          <w:szCs w:val="20"/>
          <w:rtl w:val="0"/>
        </w:rPr>
        <w:t xml:space="preserve">To the Compliance Office under the Internal Vice President Office:</w:t>
      </w:r>
    </w:p>
    <w:p w:rsidR="00000000" w:rsidDel="00000000" w:rsidP="00000000" w:rsidRDefault="00000000" w:rsidRPr="00000000" w14:paraId="00000004">
      <w:pPr>
        <w:pageBreakBefore w:val="0"/>
        <w:ind w:left="-360" w:firstLine="0"/>
        <w:rPr>
          <w:sz w:val="20"/>
          <w:szCs w:val="20"/>
        </w:rPr>
      </w:pPr>
      <w:r w:rsidDel="00000000" w:rsidR="00000000" w:rsidRPr="00000000">
        <w:rPr>
          <w:rtl w:val="0"/>
        </w:rPr>
      </w:r>
    </w:p>
    <w:p w:rsidR="00000000" w:rsidDel="00000000" w:rsidP="00000000" w:rsidRDefault="00000000" w:rsidRPr="00000000" w14:paraId="00000005">
      <w:pPr>
        <w:pageBreakBefore w:val="0"/>
        <w:ind w:left="-360" w:firstLine="0"/>
        <w:rPr>
          <w:sz w:val="20"/>
          <w:szCs w:val="20"/>
        </w:rPr>
      </w:pPr>
      <w:r w:rsidDel="00000000" w:rsidR="00000000" w:rsidRPr="00000000">
        <w:rPr>
          <w:sz w:val="20"/>
          <w:szCs w:val="20"/>
          <w:rtl w:val="0"/>
        </w:rPr>
        <w:t xml:space="preserve">This recommendation specifies the current method of assigning numbering to all cases, recommendations, and documents within the office. Following this numbering system allows for consistency and easy referencing. Because this is an internal document, no full specification will be defined here and it will be up to  the discretion of the current Chief Compliance Officer to follow this recommendation. Please continue reading for the recommendation.</w:t>
      </w:r>
    </w:p>
    <w:p w:rsidR="00000000" w:rsidDel="00000000" w:rsidP="00000000" w:rsidRDefault="00000000" w:rsidRPr="00000000" w14:paraId="00000006">
      <w:pPr>
        <w:pageBreakBefore w:val="0"/>
        <w:ind w:left="-360" w:firstLine="0"/>
        <w:rPr>
          <w:sz w:val="20"/>
          <w:szCs w:val="20"/>
        </w:rPr>
      </w:pPr>
      <w:r w:rsidDel="00000000" w:rsidR="00000000" w:rsidRPr="00000000">
        <w:rPr>
          <w:rtl w:val="0"/>
        </w:rPr>
      </w:r>
    </w:p>
    <w:p w:rsidR="00000000" w:rsidDel="00000000" w:rsidP="00000000" w:rsidRDefault="00000000" w:rsidRPr="00000000" w14:paraId="00000007">
      <w:pPr>
        <w:pageBreakBefore w:val="0"/>
        <w:ind w:left="-360" w:firstLine="0"/>
        <w:rPr>
          <w:sz w:val="20"/>
          <w:szCs w:val="20"/>
        </w:rPr>
      </w:pPr>
      <w:r w:rsidDel="00000000" w:rsidR="00000000" w:rsidRPr="00000000">
        <w:rPr>
          <w:sz w:val="20"/>
          <w:szCs w:val="20"/>
          <w:rtl w:val="0"/>
        </w:rPr>
        <w:t xml:space="preserve">There are three types of currently defined material: Recommendations, Cases, and Documents. For numbering, cases have no prefix, recommendations have the prefix “R-”, and documents have the prefix “D-”.</w:t>
      </w:r>
    </w:p>
    <w:p w:rsidR="00000000" w:rsidDel="00000000" w:rsidP="00000000" w:rsidRDefault="00000000" w:rsidRPr="00000000" w14:paraId="00000008">
      <w:pPr>
        <w:pageBreakBefore w:val="0"/>
        <w:ind w:left="-360" w:firstLine="0"/>
        <w:rPr>
          <w:sz w:val="20"/>
          <w:szCs w:val="20"/>
        </w:rPr>
      </w:pPr>
      <w:r w:rsidDel="00000000" w:rsidR="00000000" w:rsidRPr="00000000">
        <w:rPr>
          <w:rtl w:val="0"/>
        </w:rPr>
      </w:r>
    </w:p>
    <w:p w:rsidR="00000000" w:rsidDel="00000000" w:rsidP="00000000" w:rsidRDefault="00000000" w:rsidRPr="00000000" w14:paraId="00000009">
      <w:pPr>
        <w:pageBreakBefore w:val="0"/>
        <w:ind w:left="-360" w:firstLine="0"/>
        <w:rPr>
          <w:sz w:val="20"/>
          <w:szCs w:val="20"/>
        </w:rPr>
      </w:pPr>
      <w:r w:rsidDel="00000000" w:rsidR="00000000" w:rsidRPr="00000000">
        <w:rPr>
          <w:sz w:val="20"/>
          <w:szCs w:val="20"/>
          <w:rtl w:val="0"/>
        </w:rPr>
        <w:t xml:space="preserve">The full numbering of an item (its serial number if you will) shall be in the format of YYQQMM-DDHHMM. The time frame for all sections shall be in reference to when the item was created, formatted, released, or any other consistent consensus that is defined.</w:t>
      </w:r>
    </w:p>
    <w:p w:rsidR="00000000" w:rsidDel="00000000" w:rsidP="00000000" w:rsidRDefault="00000000" w:rsidRPr="00000000" w14:paraId="0000000A">
      <w:pPr>
        <w:pageBreakBefore w:val="0"/>
        <w:ind w:left="-360" w:firstLine="0"/>
        <w:rPr>
          <w:sz w:val="20"/>
          <w:szCs w:val="20"/>
        </w:rPr>
      </w:pPr>
      <w:r w:rsidDel="00000000" w:rsidR="00000000" w:rsidRPr="00000000">
        <w:rPr>
          <w:rtl w:val="0"/>
        </w:rPr>
      </w:r>
    </w:p>
    <w:p w:rsidR="00000000" w:rsidDel="00000000" w:rsidP="00000000" w:rsidRDefault="00000000" w:rsidRPr="00000000" w14:paraId="0000000B">
      <w:pPr>
        <w:pageBreakBefore w:val="0"/>
        <w:ind w:left="-360" w:firstLine="0"/>
        <w:rPr>
          <w:sz w:val="20"/>
          <w:szCs w:val="20"/>
        </w:rPr>
      </w:pPr>
      <w:r w:rsidDel="00000000" w:rsidR="00000000" w:rsidRPr="00000000">
        <w:rPr>
          <w:sz w:val="20"/>
          <w:szCs w:val="20"/>
          <w:rtl w:val="0"/>
        </w:rPr>
        <w:t xml:space="preserve">YY - The last two digits of the year, where year is </w:t>
      </w:r>
      <w:r w:rsidDel="00000000" w:rsidR="00000000" w:rsidRPr="00000000">
        <w:rPr>
          <w:sz w:val="20"/>
          <w:szCs w:val="20"/>
          <w:rtl w:val="0"/>
        </w:rPr>
        <w:t xml:space="preserve">of the</w:t>
      </w:r>
      <w:r w:rsidDel="00000000" w:rsidR="00000000" w:rsidRPr="00000000">
        <w:rPr>
          <w:sz w:val="20"/>
          <w:szCs w:val="20"/>
          <w:rtl w:val="0"/>
        </w:rPr>
        <w:t xml:space="preserve"> Gregorian calendar.</w:t>
      </w:r>
    </w:p>
    <w:p w:rsidR="00000000" w:rsidDel="00000000" w:rsidP="00000000" w:rsidRDefault="00000000" w:rsidRPr="00000000" w14:paraId="0000000C">
      <w:pPr>
        <w:pageBreakBefore w:val="0"/>
        <w:ind w:left="-360" w:firstLine="0"/>
        <w:rPr>
          <w:sz w:val="20"/>
          <w:szCs w:val="20"/>
        </w:rPr>
      </w:pPr>
      <w:r w:rsidDel="00000000" w:rsidR="00000000" w:rsidRPr="00000000">
        <w:rPr>
          <w:sz w:val="20"/>
          <w:szCs w:val="20"/>
          <w:rtl w:val="0"/>
        </w:rPr>
        <w:t xml:space="preserve">QQ - The UCSB academic quarter where “F” is for fall, “W” is for winter, “S” is for spring, and “M” is for summer. The first character will always be “Q” to define a quarter. For example, the fall quarter will be “QF”. If a document was created over a break (i.e. winter break), then the previous quarter would apply. For example, if the document was created on Christmas Day, then “QF” would still be used.</w:t>
      </w:r>
    </w:p>
    <w:p w:rsidR="00000000" w:rsidDel="00000000" w:rsidP="00000000" w:rsidRDefault="00000000" w:rsidRPr="00000000" w14:paraId="0000000D">
      <w:pPr>
        <w:pageBreakBefore w:val="0"/>
        <w:ind w:left="-360" w:firstLine="0"/>
        <w:rPr>
          <w:sz w:val="20"/>
          <w:szCs w:val="20"/>
        </w:rPr>
      </w:pPr>
      <w:r w:rsidDel="00000000" w:rsidR="00000000" w:rsidRPr="00000000">
        <w:rPr>
          <w:sz w:val="20"/>
          <w:szCs w:val="20"/>
          <w:rtl w:val="0"/>
        </w:rPr>
        <w:t xml:space="preserve">MM - The month of the year, in double digit format.</w:t>
      </w:r>
    </w:p>
    <w:p w:rsidR="00000000" w:rsidDel="00000000" w:rsidP="00000000" w:rsidRDefault="00000000" w:rsidRPr="00000000" w14:paraId="0000000E">
      <w:pPr>
        <w:pageBreakBefore w:val="0"/>
        <w:ind w:left="-360" w:firstLine="0"/>
        <w:rPr>
          <w:sz w:val="20"/>
          <w:szCs w:val="20"/>
        </w:rPr>
      </w:pPr>
      <w:r w:rsidDel="00000000" w:rsidR="00000000" w:rsidRPr="00000000">
        <w:rPr>
          <w:sz w:val="20"/>
          <w:szCs w:val="20"/>
          <w:rtl w:val="0"/>
        </w:rPr>
        <w:t xml:space="preserve">DD - The day of the month, in double digit format.</w:t>
      </w:r>
    </w:p>
    <w:p w:rsidR="00000000" w:rsidDel="00000000" w:rsidP="00000000" w:rsidRDefault="00000000" w:rsidRPr="00000000" w14:paraId="0000000F">
      <w:pPr>
        <w:pageBreakBefore w:val="0"/>
        <w:ind w:left="-360" w:firstLine="0"/>
        <w:rPr>
          <w:sz w:val="20"/>
          <w:szCs w:val="20"/>
        </w:rPr>
      </w:pPr>
      <w:r w:rsidDel="00000000" w:rsidR="00000000" w:rsidRPr="00000000">
        <w:rPr>
          <w:sz w:val="20"/>
          <w:szCs w:val="20"/>
          <w:rtl w:val="0"/>
        </w:rPr>
        <w:t xml:space="preserve">HHMM - The time of day, in 24 hour format. The exact time is not necessarily important. This serves simply as a unique identifier to prevent duplicates. As long as it is ensured that each document has its own time, there is no need to stress over the exact time. If for some reason 1440 entries is not enough for a single day, seconds, </w:t>
      </w:r>
      <w:r w:rsidDel="00000000" w:rsidR="00000000" w:rsidRPr="00000000">
        <w:rPr>
          <w:sz w:val="20"/>
          <w:szCs w:val="20"/>
          <w:rtl w:val="0"/>
        </w:rPr>
        <w:t xml:space="preserve">deci</w:t>
      </w:r>
      <w:r w:rsidDel="00000000" w:rsidR="00000000" w:rsidRPr="00000000">
        <w:rPr>
          <w:sz w:val="20"/>
          <w:szCs w:val="20"/>
          <w:rtl w:val="0"/>
        </w:rPr>
        <w:t xml:space="preserve">seconds, </w:t>
      </w:r>
      <w:r w:rsidDel="00000000" w:rsidR="00000000" w:rsidRPr="00000000">
        <w:rPr>
          <w:sz w:val="20"/>
          <w:szCs w:val="20"/>
          <w:rtl w:val="0"/>
        </w:rPr>
        <w:t xml:space="preserve">centi</w:t>
      </w:r>
      <w:r w:rsidDel="00000000" w:rsidR="00000000" w:rsidRPr="00000000">
        <w:rPr>
          <w:sz w:val="20"/>
          <w:szCs w:val="20"/>
          <w:rtl w:val="0"/>
        </w:rPr>
        <w:t xml:space="preserve">seconds, milliseconds, and so forth can be added for an infinite amount of both entries and precision.</w:t>
      </w:r>
    </w:p>
    <w:p w:rsidR="00000000" w:rsidDel="00000000" w:rsidP="00000000" w:rsidRDefault="00000000" w:rsidRPr="00000000" w14:paraId="00000010">
      <w:pPr>
        <w:pageBreakBefore w:val="0"/>
        <w:ind w:left="-360" w:firstLine="0"/>
        <w:rPr>
          <w:sz w:val="20"/>
          <w:szCs w:val="20"/>
        </w:rPr>
      </w:pPr>
      <w:r w:rsidDel="00000000" w:rsidR="00000000" w:rsidRPr="00000000">
        <w:rPr>
          <w:rtl w:val="0"/>
        </w:rPr>
      </w:r>
    </w:p>
    <w:p w:rsidR="00000000" w:rsidDel="00000000" w:rsidP="00000000" w:rsidRDefault="00000000" w:rsidRPr="00000000" w14:paraId="00000011">
      <w:pPr>
        <w:pageBreakBefore w:val="0"/>
        <w:ind w:left="-360" w:firstLine="0"/>
        <w:rPr>
          <w:sz w:val="20"/>
          <w:szCs w:val="20"/>
        </w:rPr>
      </w:pPr>
      <w:r w:rsidDel="00000000" w:rsidR="00000000" w:rsidRPr="00000000">
        <w:rPr>
          <w:sz w:val="20"/>
          <w:szCs w:val="20"/>
          <w:rtl w:val="0"/>
        </w:rPr>
        <w:t xml:space="preserve">For example, say a recommendation was created on January 28, 1970 at 4:20PM. Thus, this document’s reference number would be R-70QW01-281620.</w:t>
      </w:r>
    </w:p>
    <w:p w:rsidR="00000000" w:rsidDel="00000000" w:rsidP="00000000" w:rsidRDefault="00000000" w:rsidRPr="00000000" w14:paraId="00000012">
      <w:pPr>
        <w:pageBreakBefore w:val="0"/>
        <w:ind w:left="-360" w:firstLine="0"/>
        <w:rPr>
          <w:sz w:val="20"/>
          <w:szCs w:val="20"/>
        </w:rPr>
      </w:pPr>
      <w:r w:rsidDel="00000000" w:rsidR="00000000" w:rsidRPr="00000000">
        <w:rPr>
          <w:rtl w:val="0"/>
        </w:rPr>
      </w:r>
    </w:p>
    <w:p w:rsidR="00000000" w:rsidDel="00000000" w:rsidP="00000000" w:rsidRDefault="00000000" w:rsidRPr="00000000" w14:paraId="00000013">
      <w:pPr>
        <w:pageBreakBefore w:val="0"/>
        <w:ind w:left="-360" w:firstLine="0"/>
        <w:rPr>
          <w:sz w:val="20"/>
          <w:szCs w:val="20"/>
        </w:rPr>
      </w:pPr>
      <w:r w:rsidDel="00000000" w:rsidR="00000000" w:rsidRPr="00000000">
        <w:rPr>
          <w:sz w:val="20"/>
          <w:szCs w:val="20"/>
          <w:rtl w:val="0"/>
        </w:rPr>
        <w:t xml:space="preserve">Again, this system can be changed at any time based on the discretion of the Chief Compliance Officer in consideration with the needs of the office. No external influence should sway the usage of this numbering system. If outside entities would like to utilize this system, it is the duty of this office to ensure they have full understanding of this system and its benefits. </w:t>
      </w:r>
      <w:r w:rsidDel="00000000" w:rsidR="00000000" w:rsidRPr="00000000">
        <w:rPr>
          <w:rtl w:val="0"/>
        </w:rPr>
      </w:r>
    </w:p>
    <w:p w:rsidR="00000000" w:rsidDel="00000000" w:rsidP="00000000" w:rsidRDefault="00000000" w:rsidRPr="00000000" w14:paraId="00000014">
      <w:pPr>
        <w:pageBreakBefore w:val="0"/>
        <w:ind w:left="-360" w:firstLine="0"/>
        <w:rPr>
          <w:sz w:val="20"/>
          <w:szCs w:val="20"/>
        </w:rPr>
      </w:pPr>
      <w:r w:rsidDel="00000000" w:rsidR="00000000" w:rsidRPr="00000000">
        <w:rPr>
          <w:rtl w:val="0"/>
        </w:rPr>
      </w:r>
    </w:p>
    <w:p w:rsidR="00000000" w:rsidDel="00000000" w:rsidP="00000000" w:rsidRDefault="00000000" w:rsidRPr="00000000" w14:paraId="00000015">
      <w:pPr>
        <w:pageBreakBefore w:val="0"/>
        <w:ind w:left="-360" w:firstLine="0"/>
        <w:rPr>
          <w:sz w:val="20"/>
          <w:szCs w:val="20"/>
        </w:rPr>
      </w:pPr>
      <w:r w:rsidDel="00000000" w:rsidR="00000000" w:rsidRPr="00000000">
        <w:rPr>
          <w:sz w:val="20"/>
          <w:szCs w:val="20"/>
          <w:rtl w:val="0"/>
        </w:rPr>
        <w:t xml:space="preserve">Sincerely,</w:t>
      </w:r>
    </w:p>
    <w:p w:rsidR="00000000" w:rsidDel="00000000" w:rsidP="00000000" w:rsidRDefault="00000000" w:rsidRPr="00000000" w14:paraId="00000016">
      <w:pPr>
        <w:pageBreakBefore w:val="0"/>
        <w:ind w:left="-360" w:firstLine="0"/>
        <w:rPr>
          <w:sz w:val="20"/>
          <w:szCs w:val="20"/>
        </w:rPr>
      </w:pPr>
      <w:r w:rsidDel="00000000" w:rsidR="00000000" w:rsidRPr="00000000">
        <w:rPr>
          <w:rtl w:val="0"/>
        </w:rPr>
      </w:r>
    </w:p>
    <w:p w:rsidR="00000000" w:rsidDel="00000000" w:rsidP="00000000" w:rsidRDefault="00000000" w:rsidRPr="00000000" w14:paraId="00000017">
      <w:pPr>
        <w:ind w:left="-360" w:firstLine="0"/>
        <w:rPr>
          <w:sz w:val="20"/>
          <w:szCs w:val="20"/>
        </w:rPr>
      </w:pPr>
      <w:r w:rsidDel="00000000" w:rsidR="00000000" w:rsidRPr="00000000">
        <w:rPr>
          <w:sz w:val="20"/>
          <w:szCs w:val="20"/>
          <w:rtl w:val="0"/>
        </w:rPr>
        <w:t xml:space="preserve">David Jr Sim</w:t>
      </w:r>
    </w:p>
    <w:p w:rsidR="00000000" w:rsidDel="00000000" w:rsidP="00000000" w:rsidRDefault="00000000" w:rsidRPr="00000000" w14:paraId="00000018">
      <w:pPr>
        <w:ind w:left="-360" w:firstLine="0"/>
        <w:rPr>
          <w:sz w:val="20"/>
          <w:szCs w:val="20"/>
          <w:highlight w:val="yellow"/>
        </w:rPr>
      </w:pPr>
      <w:r w:rsidDel="00000000" w:rsidR="00000000" w:rsidRPr="00000000">
        <w:rPr>
          <w:sz w:val="20"/>
          <w:szCs w:val="20"/>
          <w:rtl w:val="0"/>
        </w:rPr>
        <w:t xml:space="preserve">AS Chief Compliance Officer                                                                 </w:t>
      </w:r>
      <w:r w:rsidDel="00000000" w:rsidR="00000000" w:rsidRPr="00000000">
        <w:rPr>
          <w:rtl w:val="0"/>
        </w:rPr>
      </w:r>
    </w:p>
    <w:p w:rsidR="00000000" w:rsidDel="00000000" w:rsidP="00000000" w:rsidRDefault="00000000" w:rsidRPr="00000000" w14:paraId="00000019">
      <w:pPr>
        <w:ind w:left="-360" w:firstLine="0"/>
        <w:rPr>
          <w:sz w:val="20"/>
          <w:szCs w:val="20"/>
        </w:rPr>
      </w:pPr>
      <w:r w:rsidDel="00000000" w:rsidR="00000000" w:rsidRPr="00000000">
        <w:rPr>
          <w:sz w:val="20"/>
          <w:szCs w:val="20"/>
          <w:rtl w:val="0"/>
        </w:rPr>
        <w:t xml:space="preserve">cco@as.ucsb.edu</w:t>
      </w:r>
    </w:p>
    <w:p w:rsidR="00000000" w:rsidDel="00000000" w:rsidP="00000000" w:rsidRDefault="00000000" w:rsidRPr="00000000" w14:paraId="0000001A">
      <w:pPr>
        <w:ind w:left="-360" w:firstLine="0"/>
        <w:rPr>
          <w:sz w:val="20"/>
          <w:szCs w:val="20"/>
        </w:rPr>
      </w:pPr>
      <w:r w:rsidDel="00000000" w:rsidR="00000000" w:rsidRPr="00000000">
        <w:rPr>
          <w:sz w:val="20"/>
          <w:szCs w:val="20"/>
          <w:rtl w:val="0"/>
        </w:rPr>
        <w:t xml:space="preserve">+1(805) 893-2566</w:t>
      </w:r>
    </w:p>
    <w:sectPr>
      <w:headerReference r:id="rId7" w:type="default"/>
      <w:headerReference r:id="rId8" w:type="first"/>
      <w:footerReference r:id="rId9" w:type="first"/>
      <w:pgSz w:h="15840" w:w="12240" w:orient="portrait"/>
      <w:pgMar w:bottom="1440" w:top="1440" w:left="1440" w:right="1440" w:header="720" w:footer="72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venir"/>
  <w:font w:name="Century Gothic">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28">
    <w:pPr>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1B">
    <w:pPr>
      <w:ind w:left="-720" w:right="-720" w:firstLine="0"/>
      <w:rPr>
        <w:color w:val="04859b"/>
      </w:rPr>
    </w:pPr>
    <w:r w:rsidDel="00000000" w:rsidR="00000000" w:rsidRPr="00000000">
      <w:rPr>
        <w:rtl w:val="0"/>
      </w:rPr>
    </w:r>
    <w:r w:rsidDel="00000000" w:rsidR="00000000" w:rsidRPr="00000000">
      <w:drawing>
        <wp:anchor allowOverlap="1" behindDoc="0" distB="57150" distT="57150" distL="57150" distR="57150" hidden="0" layoutInCell="1" locked="0" relativeHeight="0" simplePos="0">
          <wp:simplePos x="0" y="0"/>
          <wp:positionH relativeFrom="column">
            <wp:posOffset>-438146</wp:posOffset>
          </wp:positionH>
          <wp:positionV relativeFrom="paragraph">
            <wp:posOffset>-38097</wp:posOffset>
          </wp:positionV>
          <wp:extent cx="2529191" cy="190500"/>
          <wp:effectExtent b="0" l="0" r="0" t="0"/>
          <wp:wrapTopAndBottom distB="57150" distT="57150"/>
          <wp:docPr id="5"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2529191" cy="190500"/>
                  </a:xfrm>
                  <a:prstGeom prst="rect"/>
                  <a:ln/>
                </pic:spPr>
              </pic:pic>
            </a:graphicData>
          </a:graphic>
        </wp:anchor>
      </w:drawing>
    </w:r>
  </w:p>
  <w:p w:rsidR="00000000" w:rsidDel="00000000" w:rsidP="00000000" w:rsidRDefault="00000000" w:rsidRPr="00000000" w14:paraId="0000001C">
    <w:pPr>
      <w:ind w:left="-720" w:right="-720" w:firstLine="0"/>
      <w:rPr>
        <w:color w:val="04859b"/>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1D">
    <w:pPr>
      <w:ind w:left="-720" w:right="-720" w:firstLine="0"/>
      <w:rPr>
        <w:b w:val="1"/>
        <w:color w:val="434343"/>
        <w:sz w:val="20"/>
        <w:szCs w:val="20"/>
      </w:rPr>
    </w:pPr>
    <w:r w:rsidDel="00000000" w:rsidR="00000000" w:rsidRPr="00000000">
      <w:rPr>
        <w:b w:val="1"/>
        <w:color w:val="434343"/>
        <w:sz w:val="20"/>
        <w:szCs w:val="20"/>
      </w:rPr>
      <w:drawing>
        <wp:anchor allowOverlap="1" behindDoc="0" distB="114300" distT="114300" distL="114300" distR="114300" hidden="0" layoutInCell="1" locked="0" relativeHeight="0" simplePos="0">
          <wp:simplePos x="0" y="0"/>
          <wp:positionH relativeFrom="page">
            <wp:posOffset>457200</wp:posOffset>
          </wp:positionH>
          <wp:positionV relativeFrom="page">
            <wp:posOffset>548640</wp:posOffset>
          </wp:positionV>
          <wp:extent cx="3281363" cy="621049"/>
          <wp:effectExtent b="0" l="0" r="0" t="0"/>
          <wp:wrapSquare wrapText="bothSides" distB="114300" distT="114300" distL="114300" distR="114300"/>
          <wp:docPr id="6" name="image2.png"/>
          <a:graphic>
            <a:graphicData uri="http://schemas.openxmlformats.org/drawingml/2006/picture">
              <pic:pic>
                <pic:nvPicPr>
                  <pic:cNvPr id="0" name="image2.png"/>
                  <pic:cNvPicPr preferRelativeResize="0"/>
                </pic:nvPicPr>
                <pic:blipFill>
                  <a:blip r:embed="rId1"/>
                  <a:srcRect b="0" l="0" r="0" t="0"/>
                  <a:stretch>
                    <a:fillRect/>
                  </a:stretch>
                </pic:blipFill>
                <pic:spPr>
                  <a:xfrm>
                    <a:off x="0" y="0"/>
                    <a:ext cx="3281363" cy="621049"/>
                  </a:xfrm>
                  <a:prstGeom prst="rect"/>
                  <a:ln/>
                </pic:spPr>
              </pic:pic>
            </a:graphicData>
          </a:graphic>
        </wp:anchor>
      </w:drawing>
    </w:r>
    <w:r w:rsidDel="00000000" w:rsidR="00000000" w:rsidRPr="00000000">
      <w:rPr>
        <w:rtl w:val="0"/>
      </w:rPr>
    </w:r>
  </w:p>
  <w:p w:rsidR="00000000" w:rsidDel="00000000" w:rsidP="00000000" w:rsidRDefault="00000000" w:rsidRPr="00000000" w14:paraId="0000001E">
    <w:pPr>
      <w:ind w:left="-720" w:right="-720" w:firstLine="0"/>
      <w:jc w:val="right"/>
      <w:rPr>
        <w:b w:val="1"/>
        <w:color w:val="434343"/>
        <w:sz w:val="20"/>
        <w:szCs w:val="20"/>
      </w:rPr>
    </w:pPr>
    <w:r w:rsidDel="00000000" w:rsidR="00000000" w:rsidRPr="00000000">
      <w:rPr>
        <w:b w:val="1"/>
        <w:color w:val="434343"/>
        <w:sz w:val="20"/>
        <w:szCs w:val="20"/>
        <w:rtl w:val="0"/>
      </w:rPr>
      <w:t xml:space="preserve">Associated Students</w:t>
    </w:r>
  </w:p>
  <w:p w:rsidR="00000000" w:rsidDel="00000000" w:rsidP="00000000" w:rsidRDefault="00000000" w:rsidRPr="00000000" w14:paraId="0000001F">
    <w:pPr>
      <w:ind w:left="-720" w:right="-720" w:firstLine="0"/>
      <w:jc w:val="right"/>
      <w:rPr>
        <w:b w:val="1"/>
        <w:color w:val="434343"/>
        <w:sz w:val="20"/>
        <w:szCs w:val="20"/>
      </w:rPr>
    </w:pPr>
    <w:r w:rsidDel="00000000" w:rsidR="00000000" w:rsidRPr="00000000">
      <w:rPr>
        <w:b w:val="1"/>
        <w:color w:val="434343"/>
        <w:sz w:val="20"/>
        <w:szCs w:val="20"/>
        <w:rtl w:val="0"/>
      </w:rPr>
      <w:t xml:space="preserve">Internal Vice President Office</w:t>
    </w:r>
  </w:p>
  <w:p w:rsidR="00000000" w:rsidDel="00000000" w:rsidP="00000000" w:rsidRDefault="00000000" w:rsidRPr="00000000" w14:paraId="00000020">
    <w:pPr>
      <w:ind w:left="-720" w:right="-720" w:firstLine="0"/>
      <w:jc w:val="right"/>
      <w:rPr>
        <w:b w:val="1"/>
        <w:color w:val="434343"/>
        <w:sz w:val="20"/>
        <w:szCs w:val="20"/>
      </w:rPr>
    </w:pPr>
    <w:r w:rsidDel="00000000" w:rsidR="00000000" w:rsidRPr="00000000">
      <w:rPr>
        <w:b w:val="1"/>
        <w:color w:val="434343"/>
        <w:sz w:val="20"/>
        <w:szCs w:val="20"/>
        <w:rtl w:val="0"/>
      </w:rPr>
      <w:t xml:space="preserve">Chief Compliance Officer</w:t>
    </w:r>
  </w:p>
  <w:p w:rsidR="00000000" w:rsidDel="00000000" w:rsidP="00000000" w:rsidRDefault="00000000" w:rsidRPr="00000000" w14:paraId="00000021">
    <w:pPr>
      <w:ind w:left="-720" w:right="-720" w:firstLine="0"/>
      <w:jc w:val="right"/>
      <w:rPr>
        <w:b w:val="1"/>
        <w:color w:val="434343"/>
        <w:sz w:val="20"/>
        <w:szCs w:val="20"/>
      </w:rPr>
    </w:pPr>
    <w:r w:rsidDel="00000000" w:rsidR="00000000" w:rsidRPr="00000000">
      <w:rPr>
        <w:b w:val="1"/>
        <w:color w:val="434343"/>
        <w:sz w:val="20"/>
        <w:szCs w:val="20"/>
        <w:rtl w:val="0"/>
      </w:rPr>
      <w:t xml:space="preserve">UCEN 2537, University of California</w:t>
    </w:r>
  </w:p>
  <w:p w:rsidR="00000000" w:rsidDel="00000000" w:rsidP="00000000" w:rsidRDefault="00000000" w:rsidRPr="00000000" w14:paraId="00000022">
    <w:pPr>
      <w:ind w:left="-720" w:right="-720" w:firstLine="0"/>
      <w:jc w:val="right"/>
      <w:rPr>
        <w:b w:val="1"/>
        <w:color w:val="434343"/>
        <w:sz w:val="20"/>
        <w:szCs w:val="20"/>
      </w:rPr>
    </w:pPr>
    <w:r w:rsidDel="00000000" w:rsidR="00000000" w:rsidRPr="00000000">
      <w:rPr>
        <w:b w:val="1"/>
        <w:color w:val="434343"/>
        <w:sz w:val="20"/>
        <w:szCs w:val="20"/>
        <w:rtl w:val="0"/>
      </w:rPr>
      <w:t xml:space="preserve">Santa Barbara, CA 93106</w:t>
    </w:r>
  </w:p>
  <w:p w:rsidR="00000000" w:rsidDel="00000000" w:rsidP="00000000" w:rsidRDefault="00000000" w:rsidRPr="00000000" w14:paraId="00000023">
    <w:pPr>
      <w:ind w:left="-720" w:right="-720" w:firstLine="0"/>
      <w:jc w:val="right"/>
      <w:rPr>
        <w:rFonts w:ascii="Century Gothic" w:cs="Century Gothic" w:eastAsia="Century Gothic" w:hAnsi="Century Gothic"/>
        <w:b w:val="1"/>
        <w:color w:val="0076a1"/>
        <w:sz w:val="20"/>
        <w:szCs w:val="20"/>
      </w:rPr>
    </w:pPr>
    <w:r w:rsidDel="00000000" w:rsidR="00000000" w:rsidRPr="00000000">
      <w:rPr>
        <w:rFonts w:ascii="Century Gothic" w:cs="Century Gothic" w:eastAsia="Century Gothic" w:hAnsi="Century Gothic"/>
        <w:b w:val="1"/>
        <w:color w:val="0076a1"/>
        <w:sz w:val="20"/>
        <w:szCs w:val="20"/>
        <w:rtl w:val="0"/>
      </w:rPr>
      <w:t xml:space="preserve">www.as.ucsb.edu</w:t>
    </w:r>
  </w:p>
  <w:p w:rsidR="00000000" w:rsidDel="00000000" w:rsidP="00000000" w:rsidRDefault="00000000" w:rsidRPr="00000000" w14:paraId="00000024">
    <w:pPr>
      <w:pBdr>
        <w:bottom w:color="0076a1" w:space="2" w:sz="4" w:val="single"/>
      </w:pBdr>
      <w:ind w:left="-720" w:right="-720" w:firstLine="0"/>
      <w:jc w:val="right"/>
      <w:rPr>
        <w:rFonts w:ascii="Century Gothic" w:cs="Century Gothic" w:eastAsia="Century Gothic" w:hAnsi="Century Gothic"/>
        <w:b w:val="1"/>
        <w:color w:val="0076a1"/>
        <w:sz w:val="20"/>
        <w:szCs w:val="20"/>
      </w:rPr>
    </w:pPr>
    <w:r w:rsidDel="00000000" w:rsidR="00000000" w:rsidRPr="00000000">
      <w:rPr>
        <w:rtl w:val="0"/>
      </w:rPr>
    </w:r>
  </w:p>
  <w:p w:rsidR="00000000" w:rsidDel="00000000" w:rsidP="00000000" w:rsidRDefault="00000000" w:rsidRPr="00000000" w14:paraId="00000025">
    <w:pPr>
      <w:ind w:left="-720" w:right="-720" w:firstLine="0"/>
      <w:jc w:val="left"/>
      <w:rPr>
        <w:rFonts w:ascii="Century Gothic" w:cs="Century Gothic" w:eastAsia="Century Gothic" w:hAnsi="Century Gothic"/>
        <w:b w:val="1"/>
        <w:color w:val="0076a1"/>
        <w:sz w:val="20"/>
        <w:szCs w:val="20"/>
      </w:rPr>
    </w:pPr>
    <w:r w:rsidDel="00000000" w:rsidR="00000000" w:rsidRPr="00000000">
      <w:rPr>
        <w:rtl w:val="0"/>
      </w:rPr>
    </w:r>
  </w:p>
  <w:p w:rsidR="00000000" w:rsidDel="00000000" w:rsidP="00000000" w:rsidRDefault="00000000" w:rsidRPr="00000000" w14:paraId="00000026">
    <w:pPr>
      <w:ind w:left="-720" w:right="-720" w:firstLine="0"/>
      <w:jc w:val="left"/>
      <w:rPr>
        <w:rFonts w:ascii="Century Gothic" w:cs="Century Gothic" w:eastAsia="Century Gothic" w:hAnsi="Century Gothic"/>
        <w:b w:val="1"/>
        <w:color w:val="0076a1"/>
        <w:sz w:val="20"/>
        <w:szCs w:val="20"/>
      </w:rPr>
    </w:pPr>
    <w:r w:rsidDel="00000000" w:rsidR="00000000" w:rsidRPr="00000000">
      <w:rPr>
        <w:rtl w:val="0"/>
      </w:rPr>
    </w:r>
  </w:p>
  <w:p w:rsidR="00000000" w:rsidDel="00000000" w:rsidP="00000000" w:rsidRDefault="00000000" w:rsidRPr="00000000" w14:paraId="00000027">
    <w:pPr>
      <w:ind w:left="-720" w:right="-630" w:firstLine="0"/>
      <w:jc w:val="left"/>
      <w:rPr>
        <w:rFonts w:ascii="Century Gothic" w:cs="Century Gothic" w:eastAsia="Century Gothic" w:hAnsi="Century Gothic"/>
        <w:b w:val="1"/>
        <w:color w:val="003660"/>
        <w:sz w:val="20"/>
        <w:szCs w:val="20"/>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venir" w:cs="Avenir" w:eastAsia="Avenir" w:hAnsi="Avenir"/>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pPr>
    <w:rPr>
      <w:b w:val="1"/>
      <w:color w:val="003660"/>
      <w:sz w:val="36"/>
      <w:szCs w:val="36"/>
    </w:rPr>
  </w:style>
  <w:style w:type="paragraph" w:styleId="Heading3">
    <w:name w:val="heading 3"/>
    <w:basedOn w:val="Normal"/>
    <w:next w:val="Normal"/>
    <w:pPr>
      <w:keepNext w:val="1"/>
      <w:keepLines w:val="1"/>
      <w:pageBreakBefore w:val="0"/>
      <w:spacing w:line="240" w:lineRule="auto"/>
    </w:pPr>
    <w:rPr>
      <w:b w:val="1"/>
      <w:color w:val="434343"/>
      <w:sz w:val="32"/>
      <w:szCs w:val="32"/>
    </w:rPr>
  </w:style>
  <w:style w:type="paragraph" w:styleId="Heading4">
    <w:name w:val="heading 4"/>
    <w:basedOn w:val="Normal"/>
    <w:next w:val="Normal"/>
    <w:pPr>
      <w:keepNext w:val="1"/>
      <w:keepLines w:val="1"/>
      <w:pageBreakBefore w:val="0"/>
    </w:pPr>
    <w:rPr>
      <w:color w:val="666666"/>
      <w:sz w:val="32"/>
      <w:szCs w:val="32"/>
    </w:rPr>
  </w:style>
  <w:style w:type="paragraph" w:styleId="Heading5">
    <w:name w:val="heading 5"/>
    <w:basedOn w:val="Normal"/>
    <w:next w:val="Normal"/>
    <w:pPr>
      <w:keepNext w:val="1"/>
      <w:keepLines w:val="1"/>
      <w:pageBreakBefore w:val="0"/>
    </w:pPr>
    <w:rPr>
      <w:b w:val="1"/>
      <w:i w:val="1"/>
      <w:color w:val="003660"/>
      <w:sz w:val="24"/>
      <w:szCs w:val="24"/>
    </w:rPr>
  </w:style>
  <w:style w:type="paragraph" w:styleId="Heading6">
    <w:name w:val="heading 6"/>
    <w:basedOn w:val="Normal"/>
    <w:next w:val="Normal"/>
    <w:pPr>
      <w:keepNext w:val="1"/>
      <w:keepLines w:val="1"/>
      <w:pageBreakBefore w:val="0"/>
    </w:pPr>
    <w:rPr>
      <w:b w:val="1"/>
      <w:color w:val="434343"/>
      <w:sz w:val="20"/>
      <w:szCs w:val="20"/>
    </w:rPr>
  </w:style>
  <w:style w:type="paragraph" w:styleId="Title">
    <w:name w:val="Title"/>
    <w:basedOn w:val="Normal"/>
    <w:next w:val="Normal"/>
    <w:pPr>
      <w:keepNext w:val="1"/>
      <w:keepLines w:val="1"/>
      <w:pageBreakBefore w:val="0"/>
      <w:spacing w:after="60" w:lineRule="auto"/>
    </w:pPr>
    <w:rPr>
      <w:b w:val="1"/>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pPr>
    <w:rPr>
      <w:b w:val="1"/>
      <w:color w:val="003660"/>
      <w:sz w:val="36"/>
      <w:szCs w:val="36"/>
    </w:rPr>
  </w:style>
  <w:style w:type="paragraph" w:styleId="Heading3">
    <w:name w:val="heading 3"/>
    <w:basedOn w:val="Normal"/>
    <w:next w:val="Normal"/>
    <w:pPr>
      <w:keepNext w:val="1"/>
      <w:keepLines w:val="1"/>
      <w:pageBreakBefore w:val="0"/>
      <w:spacing w:line="240" w:lineRule="auto"/>
    </w:pPr>
    <w:rPr>
      <w:b w:val="1"/>
      <w:color w:val="434343"/>
      <w:sz w:val="32"/>
      <w:szCs w:val="32"/>
    </w:rPr>
  </w:style>
  <w:style w:type="paragraph" w:styleId="Heading4">
    <w:name w:val="heading 4"/>
    <w:basedOn w:val="Normal"/>
    <w:next w:val="Normal"/>
    <w:pPr>
      <w:keepNext w:val="1"/>
      <w:keepLines w:val="1"/>
      <w:pageBreakBefore w:val="0"/>
    </w:pPr>
    <w:rPr>
      <w:color w:val="666666"/>
      <w:sz w:val="32"/>
      <w:szCs w:val="32"/>
    </w:rPr>
  </w:style>
  <w:style w:type="paragraph" w:styleId="Heading5">
    <w:name w:val="heading 5"/>
    <w:basedOn w:val="Normal"/>
    <w:next w:val="Normal"/>
    <w:pPr>
      <w:keepNext w:val="1"/>
      <w:keepLines w:val="1"/>
      <w:pageBreakBefore w:val="0"/>
    </w:pPr>
    <w:rPr>
      <w:b w:val="1"/>
      <w:i w:val="1"/>
      <w:color w:val="003660"/>
      <w:sz w:val="24"/>
      <w:szCs w:val="24"/>
    </w:rPr>
  </w:style>
  <w:style w:type="paragraph" w:styleId="Heading6">
    <w:name w:val="heading 6"/>
    <w:basedOn w:val="Normal"/>
    <w:next w:val="Normal"/>
    <w:pPr>
      <w:keepNext w:val="1"/>
      <w:keepLines w:val="1"/>
      <w:pageBreakBefore w:val="0"/>
    </w:pPr>
    <w:rPr>
      <w:b w:val="1"/>
      <w:color w:val="434343"/>
      <w:sz w:val="20"/>
      <w:szCs w:val="20"/>
    </w:rPr>
  </w:style>
  <w:style w:type="paragraph" w:styleId="Title">
    <w:name w:val="Title"/>
    <w:basedOn w:val="Normal"/>
    <w:next w:val="Normal"/>
    <w:pPr>
      <w:keepNext w:val="1"/>
      <w:keepLines w:val="1"/>
      <w:pageBreakBefore w:val="0"/>
      <w:spacing w:after="60" w:lineRule="auto"/>
    </w:pPr>
    <w:rPr>
      <w:b w:val="1"/>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pPr>
    <w:rPr>
      <w:b w:val="1"/>
      <w:color w:val="003660"/>
      <w:sz w:val="36"/>
      <w:szCs w:val="36"/>
    </w:rPr>
  </w:style>
  <w:style w:type="paragraph" w:styleId="Heading3">
    <w:name w:val="heading 3"/>
    <w:basedOn w:val="Normal"/>
    <w:next w:val="Normal"/>
    <w:pPr>
      <w:keepNext w:val="1"/>
      <w:keepLines w:val="1"/>
      <w:pageBreakBefore w:val="0"/>
      <w:spacing w:line="240" w:lineRule="auto"/>
    </w:pPr>
    <w:rPr>
      <w:b w:val="1"/>
      <w:color w:val="434343"/>
      <w:sz w:val="32"/>
      <w:szCs w:val="32"/>
    </w:rPr>
  </w:style>
  <w:style w:type="paragraph" w:styleId="Heading4">
    <w:name w:val="heading 4"/>
    <w:basedOn w:val="Normal"/>
    <w:next w:val="Normal"/>
    <w:pPr>
      <w:keepNext w:val="1"/>
      <w:keepLines w:val="1"/>
      <w:pageBreakBefore w:val="0"/>
    </w:pPr>
    <w:rPr>
      <w:color w:val="666666"/>
      <w:sz w:val="32"/>
      <w:szCs w:val="32"/>
    </w:rPr>
  </w:style>
  <w:style w:type="paragraph" w:styleId="Heading5">
    <w:name w:val="heading 5"/>
    <w:basedOn w:val="Normal"/>
    <w:next w:val="Normal"/>
    <w:pPr>
      <w:keepNext w:val="1"/>
      <w:keepLines w:val="1"/>
      <w:pageBreakBefore w:val="0"/>
    </w:pPr>
    <w:rPr>
      <w:b w:val="1"/>
      <w:i w:val="1"/>
      <w:color w:val="003660"/>
      <w:sz w:val="24"/>
      <w:szCs w:val="24"/>
    </w:rPr>
  </w:style>
  <w:style w:type="paragraph" w:styleId="Heading6">
    <w:name w:val="heading 6"/>
    <w:basedOn w:val="Normal"/>
    <w:next w:val="Normal"/>
    <w:pPr>
      <w:keepNext w:val="1"/>
      <w:keepLines w:val="1"/>
      <w:pageBreakBefore w:val="0"/>
    </w:pPr>
    <w:rPr>
      <w:b w:val="1"/>
      <w:color w:val="434343"/>
      <w:sz w:val="20"/>
      <w:szCs w:val="20"/>
    </w:rPr>
  </w:style>
  <w:style w:type="paragraph" w:styleId="Title">
    <w:name w:val="Title"/>
    <w:basedOn w:val="Normal"/>
    <w:next w:val="Normal"/>
    <w:pPr>
      <w:keepNext w:val="1"/>
      <w:keepLines w:val="1"/>
      <w:pageBreakBefore w:val="0"/>
      <w:spacing w:after="60" w:lineRule="auto"/>
    </w:pPr>
    <w:rPr>
      <w:b w:val="1"/>
      <w:sz w:val="52"/>
      <w:szCs w:val="52"/>
    </w:rPr>
  </w:style>
  <w:style w:type="paragraph" w:styleId="Subtitle">
    <w:name w:val="Subtitle"/>
    <w:basedOn w:val="Normal"/>
    <w:next w:val="Normal"/>
    <w:pPr>
      <w:keepNext w:val="1"/>
      <w:keepLines w:val="1"/>
      <w:pageBreakBefore w:val="0"/>
      <w:spacing w:after="200" w:line="360" w:lineRule="auto"/>
    </w:pPr>
    <w:rPr>
      <w:b w:val="1"/>
      <w:color w:val="04859b"/>
      <w:sz w:val="28"/>
      <w:szCs w:val="28"/>
    </w:rPr>
  </w:style>
  <w:style w:type="paragraph" w:styleId="Subtitle">
    <w:name w:val="Subtitle"/>
    <w:basedOn w:val="Normal"/>
    <w:next w:val="Normal"/>
    <w:pPr>
      <w:keepNext w:val="1"/>
      <w:keepLines w:val="1"/>
      <w:pageBreakBefore w:val="0"/>
      <w:spacing w:after="200" w:line="360" w:lineRule="auto"/>
    </w:pPr>
    <w:rPr>
      <w:b w:val="1"/>
      <w:color w:val="04859b"/>
      <w:sz w:val="28"/>
      <w:szCs w:val="28"/>
    </w:rPr>
  </w:style>
  <w:style w:type="paragraph" w:styleId="Subtitle">
    <w:name w:val="Subtitle"/>
    <w:basedOn w:val="Normal"/>
    <w:next w:val="Normal"/>
    <w:pPr>
      <w:keepNext w:val="1"/>
      <w:keepLines w:val="1"/>
      <w:pageBreakBefore w:val="0"/>
      <w:spacing w:after="200" w:line="360" w:lineRule="auto"/>
    </w:pPr>
    <w:rPr>
      <w:b w:val="1"/>
      <w:color w:val="04859b"/>
      <w:sz w:val="28"/>
      <w:szCs w:val="2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 Id="rId8" Type="http://schemas.openxmlformats.org/officeDocument/2006/relationships/header" Target="header2.xml"/></Relationships>
</file>

<file path=word/_rels/fontTable.xml.rels><?xml version="1.0" encoding="UTF-8" standalone="yes"?><Relationships xmlns="http://schemas.openxmlformats.org/package/2006/relationships"><Relationship Id="rId1" Type="http://schemas.openxmlformats.org/officeDocument/2006/relationships/font" Target="fonts/CenturyGothic-regular.ttf"/><Relationship Id="rId2" Type="http://schemas.openxmlformats.org/officeDocument/2006/relationships/font" Target="fonts/CenturyGothic-bold.ttf"/><Relationship Id="rId3" Type="http://schemas.openxmlformats.org/officeDocument/2006/relationships/font" Target="fonts/CenturyGothic-italic.ttf"/><Relationship Id="rId4" Type="http://schemas.openxmlformats.org/officeDocument/2006/relationships/font" Target="fonts/CenturyGothic-boldItalic.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B/mT3/9KMAM4w5vFMY9JrpbLrtA==">CgMxLjA4AHIhMVZXanc5RS0wODI2cHE3WUNRMEhfN0FrU2tfcU5VeU1n</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